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Experiential Learning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Quotes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"For the things we have to learn before we can do them, we learn by doing them"</w:t>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Artistotle</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60" w:lineRule="auto"/>
        <w:contextualSpacing w:val="0"/>
        <w:rPr>
          <w:rFonts w:ascii="Merriweather" w:cs="Merriweather" w:eastAsia="Merriweather" w:hAnsi="Merriweather"/>
          <w:color w:val="181818"/>
          <w:sz w:val="21"/>
          <w:szCs w:val="21"/>
          <w:highlight w:val="white"/>
        </w:rPr>
      </w:pPr>
      <w:bookmarkStart w:colFirst="0" w:colLast="0" w:name="_iktcwx68dbqg" w:id="0"/>
      <w:bookmarkEnd w:id="0"/>
      <w:r w:rsidDel="00000000" w:rsidR="00000000" w:rsidRPr="00000000">
        <w:rPr>
          <w:rFonts w:ascii="Merriweather" w:cs="Merriweather" w:eastAsia="Merriweather" w:hAnsi="Merriweather"/>
          <w:color w:val="181818"/>
          <w:sz w:val="21"/>
          <w:szCs w:val="21"/>
          <w:highlight w:val="white"/>
          <w:rtl w:val="0"/>
        </w:rPr>
        <w:t xml:space="preserve">“Learning is experience. Everything else is just information.”</w:t>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Einstein</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Experiential learning is not a new concept, with Aristotle famously stating that “for the things we have to learn before we can do them, we learn by doing them”</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More recently, multiple benefits of experiential learning have been indicated. These include _______</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But how much experiential learning do trainee teachers experience? The form most frequently encountered is of course being in a classroom and interacting with pupils. While this experience is invaluable, it can also be a daunting process and surveys have indicated that nearly a quarter of teachers feel unprepared by their initial teacher training course for their classroom experience.</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Our virtual reality teacher training C-Live allows trainee teachers to interact with a classroom in real time with pupils who have distinct personalities and skills. </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With 95% of  Bath Spa University students stating that C-Live helped to prepare them for the real classroom, we believe that combining C-Live with real classroom experience can enhance trainee teachers’ experiential learning experience. </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b w:val="1"/>
          <w:color w:val="222222"/>
          <w:sz w:val="21"/>
          <w:szCs w:val="21"/>
          <w:highlight w:val="white"/>
          <w:rtl w:val="0"/>
        </w:rPr>
        <w:t xml:space="preserve">The experiential cycle developed by </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Concrete experience</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Reflective observation</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Abstract conceptulisation</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Active experimentation</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C-Live offers all four of these stages in succession. Students can choose a specific scenario that they would like to practice. The scenario is recorded, allowing the participant the chance to watch it back and reflect upon it, before attempting the scenario again, thus completing the experiential cycle.</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color w:val="222222"/>
          <w:sz w:val="21"/>
          <w:szCs w:val="21"/>
          <w:highlight w:val="white"/>
          <w:rtl w:val="0"/>
        </w:rPr>
        <w:t xml:space="preserve">This process is harder to follow in a classroom setting without the option for the teacher to rewatch their performance and re attempt the situation immediately. </w:t>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b w:val="1"/>
          <w:color w:val="222222"/>
          <w:sz w:val="21"/>
          <w:szCs w:val="21"/>
          <w:highlight w:val="white"/>
          <w:rtl w:val="0"/>
        </w:rPr>
        <w:t xml:space="preserve">Multiple Builds</w:t>
      </w: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b w:val="1"/>
          <w:color w:val="222222"/>
          <w:sz w:val="21"/>
          <w:szCs w:val="21"/>
          <w:highlight w:val="white"/>
        </w:rPr>
      </w:pPr>
      <w:r w:rsidDel="00000000" w:rsidR="00000000" w:rsidRPr="00000000">
        <w:rPr>
          <w:color w:val="222222"/>
          <w:sz w:val="21"/>
          <w:szCs w:val="21"/>
          <w:highlight w:val="white"/>
          <w:rtl w:val="0"/>
        </w:rPr>
        <w:t xml:space="preserve">C-Live offers a variety of builds, which can be easily switched, allowing participants to interact with classes of different sizes and age groups within minutes. C-Live also offers adult avatars, which gives trainee teachers the option of </w:t>
      </w: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p w:rsidR="00000000" w:rsidDel="00000000" w:rsidP="00000000" w:rsidRDefault="00000000" w:rsidRPr="00000000">
      <w:pPr>
        <w:contextualSpacing w:val="0"/>
        <w:rPr>
          <w:color w:val="222222"/>
          <w:sz w:val="21"/>
          <w:szCs w:val="21"/>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